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nom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date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fonction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employé</w:t>
      </w:r>
      <w:proofErr w:type="gramEnd"/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pays</w:t>
      </w:r>
      <w:proofErr w:type="gramEnd"/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à</w:t>
      </w:r>
      <w:proofErr w:type="gramEnd"/>
      <w:r>
        <w:rPr>
          <w:rFonts w:ascii="Century Gothic" w:hAnsi="Century Gothic"/>
          <w:b w:val="0"/>
          <w:sz w:val="20"/>
          <w:szCs w:val="20"/>
        </w:rPr>
        <w:t xml:space="preserve">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0CFE9677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l’</w:t>
      </w:r>
      <w:proofErr w:type="spellStart"/>
      <w:r w:rsidR="002834F2" w:rsidRPr="00B36587">
        <w:rPr>
          <w:rFonts w:ascii="Century Gothic" w:hAnsi="Century Gothic"/>
          <w:b w:val="0"/>
          <w:i/>
          <w:sz w:val="20"/>
          <w:szCs w:val="20"/>
        </w:rPr>
        <w:t>Agr</w:t>
      </w:r>
      <w:r w:rsidR="00D55164" w:rsidRPr="00B36587">
        <w:rPr>
          <w:rFonts w:ascii="Century Gothic" w:hAnsi="Century Gothic"/>
          <w:b w:val="0"/>
          <w:i/>
          <w:sz w:val="20"/>
          <w:szCs w:val="20"/>
        </w:rPr>
        <w:t>i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>-business</w:t>
      </w:r>
      <w:proofErr w:type="spellEnd"/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408A612" w14:textId="33C4C3AA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B36587">
        <w:rPr>
          <w:rFonts w:ascii="Century Gothic" w:hAnsi="Century Gothic"/>
          <w:b w:val="0"/>
          <w:sz w:val="20"/>
          <w:szCs w:val="20"/>
        </w:rPr>
        <w:t>du</w:t>
      </w:r>
      <w:proofErr w:type="gramEnd"/>
      <w:r w:rsidRPr="00B36587">
        <w:rPr>
          <w:rFonts w:ascii="Century Gothic" w:hAnsi="Century Gothic"/>
          <w:b w:val="0"/>
          <w:sz w:val="20"/>
          <w:szCs w:val="20"/>
        </w:rPr>
        <w:t xml:space="preserve"> 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18 avril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B36587">
        <w:rPr>
          <w:rFonts w:ascii="Century Gothic" w:hAnsi="Century Gothic"/>
          <w:b w:val="0"/>
          <w:i/>
          <w:sz w:val="20"/>
          <w:szCs w:val="20"/>
        </w:rPr>
        <w:t>30 Juin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 202</w:t>
      </w:r>
      <w:r w:rsidR="00B36587">
        <w:rPr>
          <w:rFonts w:ascii="Century Gothic" w:hAnsi="Century Gothic"/>
          <w:b w:val="0"/>
          <w:i/>
          <w:sz w:val="20"/>
          <w:szCs w:val="20"/>
        </w:rPr>
        <w:t>3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programme total en ligne/ à temps partiel et y compris une semaine en face-à-face)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360B37">
        <w:rPr>
          <w:rFonts w:ascii="Century Gothic" w:hAnsi="Century Gothic"/>
          <w:b w:val="0"/>
          <w:sz w:val="20"/>
          <w:szCs w:val="20"/>
        </w:rPr>
        <w:t>par</w:t>
      </w:r>
      <w:proofErr w:type="gramEnd"/>
      <w:r w:rsidRPr="00360B37">
        <w:rPr>
          <w:rFonts w:ascii="Century Gothic" w:hAnsi="Century Gothic"/>
          <w:b w:val="0"/>
          <w:sz w:val="20"/>
          <w:szCs w:val="20"/>
        </w:rPr>
        <w:t xml:space="preserve">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proofErr w:type="gramStart"/>
      <w:r>
        <w:rPr>
          <w:b/>
          <w:szCs w:val="20"/>
        </w:rPr>
        <w:t>le</w:t>
      </w:r>
      <w:proofErr w:type="gramEnd"/>
      <w:r>
        <w:rPr>
          <w:b/>
          <w:szCs w:val="20"/>
        </w:rPr>
        <w:t xml:space="preserve">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à</w:t>
      </w:r>
      <w:proofErr w:type="gramEnd"/>
      <w:r>
        <w:rPr>
          <w:b/>
          <w:szCs w:val="20"/>
        </w:rPr>
        <w:t xml:space="preserve">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aucune</w:t>
      </w:r>
      <w:proofErr w:type="gramEnd"/>
      <w:r>
        <w:rPr>
          <w:b/>
          <w:szCs w:val="20"/>
        </w:rPr>
        <w:t xml:space="preserve">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les</w:t>
      </w:r>
      <w:proofErr w:type="gramEnd"/>
      <w:r>
        <w:rPr>
          <w:b/>
          <w:szCs w:val="20"/>
        </w:rPr>
        <w:t xml:space="preserve">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 xml:space="preserve">J’ai approuvé un plan de mise en œuvre des connaissances nouvellement acquises par le </w:t>
      </w:r>
      <w:proofErr w:type="gramStart"/>
      <w:r>
        <w:t>candidat</w:t>
      </w:r>
      <w:proofErr w:type="gramEnd"/>
      <w:r>
        <w:t>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E-mail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5FE2" w14:textId="77777777" w:rsidR="00AA6CF8" w:rsidRDefault="00AA6CF8">
      <w:pPr>
        <w:spacing w:after="0" w:line="240" w:lineRule="auto"/>
      </w:pPr>
      <w:r>
        <w:separator/>
      </w:r>
    </w:p>
  </w:endnote>
  <w:endnote w:type="continuationSeparator" w:id="0">
    <w:p w14:paraId="477A5D9A" w14:textId="77777777" w:rsidR="00AA6CF8" w:rsidRDefault="00A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A59A" w14:textId="77777777" w:rsidR="00AA6CF8" w:rsidRDefault="00AA6CF8" w:rsidP="001B6DBB">
      <w:pPr>
        <w:spacing w:after="0" w:line="240" w:lineRule="auto"/>
      </w:pPr>
      <w:r>
        <w:separator/>
      </w:r>
    </w:p>
  </w:footnote>
  <w:footnote w:type="continuationSeparator" w:id="0">
    <w:p w14:paraId="31ABBE02" w14:textId="77777777" w:rsidR="00AA6CF8" w:rsidRDefault="00AA6CF8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15438"/>
    <w:rsid w:val="006228E4"/>
    <w:rsid w:val="00625BF2"/>
    <w:rsid w:val="00625EFC"/>
    <w:rsid w:val="00634587"/>
    <w:rsid w:val="00670769"/>
    <w:rsid w:val="00704DDE"/>
    <w:rsid w:val="007155B6"/>
    <w:rsid w:val="00726A66"/>
    <w:rsid w:val="007917B6"/>
    <w:rsid w:val="007B2E1E"/>
    <w:rsid w:val="007E6DEE"/>
    <w:rsid w:val="00874970"/>
    <w:rsid w:val="008C7D9D"/>
    <w:rsid w:val="008D63BC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A02973"/>
    <w:rsid w:val="00A20299"/>
    <w:rsid w:val="00A90E81"/>
    <w:rsid w:val="00AA6CF8"/>
    <w:rsid w:val="00AB52E9"/>
    <w:rsid w:val="00AC0F10"/>
    <w:rsid w:val="00AE1107"/>
    <w:rsid w:val="00AF60FA"/>
    <w:rsid w:val="00B11604"/>
    <w:rsid w:val="00B16F95"/>
    <w:rsid w:val="00B36587"/>
    <w:rsid w:val="00B93E36"/>
    <w:rsid w:val="00BB48D1"/>
    <w:rsid w:val="00BC5B0C"/>
    <w:rsid w:val="00C246CC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4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2022-08-25T12:29:00Z</dcterms:created>
  <dcterms:modified xsi:type="dcterms:W3CDTF">2022-08-25T12:34:00Z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